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ind w:firstLine="567"/>
        <w:jc w:val="right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sz w:val="26"/>
          <w:szCs w:val="26"/>
        </w:rPr>
        <w:t>ело № 5-</w:t>
      </w:r>
      <w:r>
        <w:rPr>
          <w:rFonts w:ascii="Times New Roman" w:eastAsia="Times New Roman" w:hAnsi="Times New Roman" w:cs="Times New Roman"/>
          <w:sz w:val="26"/>
          <w:szCs w:val="26"/>
        </w:rPr>
        <w:t>823</w:t>
      </w:r>
      <w:r>
        <w:rPr>
          <w:rFonts w:ascii="Times New Roman" w:eastAsia="Times New Roman" w:hAnsi="Times New Roman" w:cs="Times New Roman"/>
          <w:sz w:val="26"/>
          <w:szCs w:val="26"/>
        </w:rPr>
        <w:t>-2610/202</w:t>
      </w:r>
      <w:r>
        <w:rPr>
          <w:rFonts w:ascii="Times New Roman" w:eastAsia="Times New Roman" w:hAnsi="Times New Roman" w:cs="Times New Roman"/>
          <w:sz w:val="26"/>
          <w:szCs w:val="26"/>
        </w:rPr>
        <w:t>6</w:t>
      </w:r>
    </w:p>
    <w:p>
      <w:pPr>
        <w:spacing w:before="0" w:after="0"/>
        <w:ind w:firstLine="567"/>
        <w:jc w:val="right"/>
        <w:rPr>
          <w:sz w:val="26"/>
          <w:szCs w:val="26"/>
        </w:rPr>
      </w:pPr>
    </w:p>
    <w:p>
      <w:pPr>
        <w:spacing w:before="0" w:after="0"/>
        <w:ind w:firstLine="567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ПОСТАНОВЛЕНИЕ</w:t>
      </w:r>
    </w:p>
    <w:p>
      <w:pPr>
        <w:spacing w:before="0" w:after="0"/>
        <w:ind w:firstLine="567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по делу об административном правонарушении</w:t>
      </w:r>
    </w:p>
    <w:p>
      <w:pPr>
        <w:spacing w:before="0" w:after="0"/>
        <w:ind w:firstLine="567"/>
        <w:jc w:val="center"/>
        <w:rPr>
          <w:sz w:val="27"/>
          <w:szCs w:val="27"/>
        </w:rPr>
      </w:pPr>
    </w:p>
    <w:p>
      <w:pPr>
        <w:spacing w:before="0" w:after="0"/>
        <w:ind w:firstLine="567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03 июня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г. Сургут</w:t>
      </w:r>
    </w:p>
    <w:p>
      <w:pPr>
        <w:spacing w:before="0" w:after="0"/>
        <w:ind w:firstLine="567"/>
        <w:jc w:val="both"/>
        <w:rPr>
          <w:sz w:val="28"/>
          <w:szCs w:val="28"/>
        </w:rPr>
      </w:pP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>ирово</w:t>
      </w:r>
      <w:r>
        <w:rPr>
          <w:rFonts w:ascii="Times New Roman" w:eastAsia="Times New Roman" w:hAnsi="Times New Roman" w:cs="Times New Roman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судебного участка № </w:t>
      </w:r>
      <w:r>
        <w:rPr>
          <w:rFonts w:ascii="Times New Roman" w:eastAsia="Times New Roman" w:hAnsi="Times New Roman" w:cs="Times New Roman"/>
          <w:sz w:val="28"/>
          <w:szCs w:val="28"/>
        </w:rPr>
        <w:t>10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Сургутского судебного района города окружного значения Сургута Ханты-Мансийского автономного округа – Югры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Король Е.П., находящийся по адресу: г. Сургут ул. Гагарина д. 9 </w:t>
      </w:r>
      <w:r>
        <w:rPr>
          <w:rFonts w:ascii="Times New Roman" w:eastAsia="Times New Roman" w:hAnsi="Times New Roman" w:cs="Times New Roman"/>
          <w:sz w:val="28"/>
          <w:szCs w:val="28"/>
        </w:rPr>
        <w:t>каб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205, рассмотрев дело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отношении </w:t>
      </w:r>
      <w:r>
        <w:rPr>
          <w:rFonts w:ascii="Times New Roman" w:eastAsia="Times New Roman" w:hAnsi="Times New Roman" w:cs="Times New Roman"/>
          <w:sz w:val="28"/>
          <w:szCs w:val="28"/>
        </w:rPr>
        <w:t>Калёновой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Полины Владимировны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Style w:val="cat-UserDefinedgrp-42rplc-6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об административном правонарушении, предусмотренном ч.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ст. 15.33</w:t>
      </w:r>
      <w:r>
        <w:rPr>
          <w:rFonts w:ascii="Times New Roman" w:eastAsia="Times New Roman" w:hAnsi="Times New Roman" w:cs="Times New Roman"/>
          <w:sz w:val="28"/>
          <w:szCs w:val="28"/>
        </w:rPr>
        <w:t>.2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КоАП РФ,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/>
        <w:ind w:firstLine="567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установил: 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исходя из протокола 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2484</w:t>
      </w:r>
      <w:r>
        <w:rPr>
          <w:rFonts w:ascii="Times New Roman" w:eastAsia="Times New Roman" w:hAnsi="Times New Roman" w:cs="Times New Roman"/>
          <w:sz w:val="28"/>
          <w:szCs w:val="28"/>
        </w:rPr>
        <w:t>/2026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об административном правонарушении от </w:t>
      </w:r>
      <w:r>
        <w:rPr>
          <w:rFonts w:ascii="Times New Roman" w:eastAsia="Times New Roman" w:hAnsi="Times New Roman" w:cs="Times New Roman"/>
          <w:sz w:val="28"/>
          <w:szCs w:val="28"/>
        </w:rPr>
        <w:t>18.05</w:t>
      </w:r>
      <w:r>
        <w:rPr>
          <w:rFonts w:ascii="Times New Roman" w:eastAsia="Times New Roman" w:hAnsi="Times New Roman" w:cs="Times New Roman"/>
          <w:sz w:val="28"/>
          <w:szCs w:val="28"/>
        </w:rPr>
        <w:t>.2026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года, </w:t>
      </w:r>
      <w:r>
        <w:rPr>
          <w:rStyle w:val="cat-UserDefinedgrp-43rplc-16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 телекоммуникационным каналам связи </w:t>
      </w:r>
      <w:r>
        <w:rPr>
          <w:rFonts w:ascii="Times New Roman" w:eastAsia="Times New Roman" w:hAnsi="Times New Roman" w:cs="Times New Roman"/>
          <w:sz w:val="28"/>
          <w:szCs w:val="28"/>
        </w:rPr>
        <w:t>06.04</w:t>
      </w:r>
      <w:r>
        <w:rPr>
          <w:rFonts w:ascii="Times New Roman" w:eastAsia="Times New Roman" w:hAnsi="Times New Roman" w:cs="Times New Roman"/>
          <w:sz w:val="28"/>
          <w:szCs w:val="28"/>
        </w:rPr>
        <w:t>.2026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sz w:val="28"/>
          <w:szCs w:val="28"/>
        </w:rPr>
        <w:t>ода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представлены сведения о застрахованных лицах по форме ЕФС-1, ГПД 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бращение № ЕФС-</w:t>
      </w:r>
      <w:r>
        <w:rPr>
          <w:rStyle w:val="cat-UserDefinedgrp-44rplc-18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Согласно п. 6 ст. 11 Федерального закона от 01.04.1996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года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№ 27-ФЗ «Об индивидуальном (персонифицированном) учете в системах обязательного пенсионного страхования и обязательного социального страхования» форма ЕФС-1, раздел 1, подраздел 1.1 представляется страхователем не позднее рабочего дня, следующего за днем заключения с застрахованным лицом соответствующего договора, а в случае прекращения договора не позднее рабочего дня, следующего за днем его прекращения. 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 основании вышеуказанной статьи, понятие «период, за который должен быть представлен отчет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отсутствует. В отношении 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застрахованн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ого </w:t>
      </w:r>
      <w:r>
        <w:rPr>
          <w:rFonts w:ascii="Times New Roman" w:eastAsia="Times New Roman" w:hAnsi="Times New Roman" w:cs="Times New Roman"/>
          <w:sz w:val="28"/>
          <w:szCs w:val="28"/>
        </w:rPr>
        <w:t>лиц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выявлено 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правонарушени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tbl>
      <w:tblPr>
        <w:tblW w:w="10055" w:type="dxa"/>
        <w:tblInd w:w="2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0" w:type="dxa"/>
          <w:left w:w="0" w:type="dxa"/>
          <w:bottom w:w="0" w:type="dxa"/>
          <w:right w:w="0" w:type="dxa"/>
        </w:tblCellMar>
      </w:tblPr>
      <w:tblGrid>
        <w:gridCol w:w="558"/>
        <w:gridCol w:w="1742"/>
        <w:gridCol w:w="1900"/>
        <w:gridCol w:w="2053"/>
        <w:gridCol w:w="3772"/>
      </w:tblGrid>
      <w:tr>
        <w:tblPrEx>
          <w:tblW w:w="10055" w:type="dxa"/>
          <w:tblInd w:w="20" w:type="dxa"/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22"/>
        </w:trPr>
        <w:tc>
          <w:tcPr>
            <w:tcW w:w="542" w:type="dxa"/>
            <w:tcBorders>
              <w:right w:val="single" w:sz="6" w:space="0" w:color="000000"/>
            </w:tcBorders>
            <w:noWrap w:val="0"/>
            <w:tcMar>
              <w:top w:w="8" w:type="dxa"/>
              <w:left w:w="8" w:type="dxa"/>
              <w:bottom w:w="5" w:type="dxa"/>
              <w:right w:w="8" w:type="dxa"/>
            </w:tcMar>
            <w:vAlign w:val="center"/>
            <w:hideMark/>
          </w:tcPr>
          <w:p>
            <w:pPr>
              <w:widowControl w:val="0"/>
              <w:spacing w:before="0" w:after="0"/>
              <w:ind w:right="86"/>
              <w:jc w:val="righ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 xml:space="preserve">№ </w:t>
            </w:r>
          </w:p>
        </w:tc>
        <w:tc>
          <w:tcPr>
            <w:tcW w:w="1743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>
            <w:pPr>
              <w:widowControl w:val="0"/>
              <w:spacing w:before="0" w:after="0"/>
              <w:ind w:right="432"/>
              <w:rPr>
                <w:b w:val="0"/>
                <w:bCs w:val="0"/>
                <w:i w:val="0"/>
                <w:iCs w:val="0"/>
                <w:smallCaps w:val="0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8"/>
                <w:szCs w:val="28"/>
              </w:rPr>
              <w:t xml:space="preserve">       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8"/>
                <w:szCs w:val="28"/>
              </w:rPr>
              <w:t>снилс</w:t>
            </w:r>
          </w:p>
        </w:tc>
        <w:tc>
          <w:tcPr>
            <w:tcW w:w="190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>
            <w:pPr>
              <w:widowControl w:val="0"/>
              <w:spacing w:before="0" w:after="0"/>
              <w:ind w:left="163"/>
              <w:rPr>
                <w:b w:val="0"/>
                <w:bCs w:val="0"/>
                <w:i w:val="0"/>
                <w:iCs w:val="0"/>
                <w:smallCaps w:val="0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1"/>
                <w:szCs w:val="21"/>
              </w:rPr>
              <w:t>Код КМ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1"/>
                <w:szCs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1"/>
                <w:szCs w:val="21"/>
              </w:rPr>
              <w:t xml:space="preserve">ДГПХ </w:t>
            </w:r>
          </w:p>
        </w:tc>
        <w:tc>
          <w:tcPr>
            <w:tcW w:w="2037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>
            <w:pPr>
              <w:widowControl w:val="0"/>
              <w:spacing w:before="0" w:after="0" w:line="240" w:lineRule="atLeast"/>
              <w:ind w:right="29"/>
              <w:jc w:val="center"/>
              <w:rPr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1"/>
                <w:szCs w:val="21"/>
              </w:rPr>
              <w:t xml:space="preserve">Дата (начала/ </w:t>
            </w:r>
          </w:p>
          <w:p>
            <w:pPr>
              <w:widowControl w:val="0"/>
              <w:spacing w:before="0" w:after="0" w:line="240" w:lineRule="atLeast"/>
              <w:ind w:left="34"/>
              <w:jc w:val="center"/>
              <w:rPr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1"/>
                <w:szCs w:val="21"/>
              </w:rPr>
              <w:t>окончания)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1"/>
                <w:szCs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1"/>
                <w:szCs w:val="21"/>
              </w:rPr>
              <w:t xml:space="preserve">договора </w:t>
            </w:r>
          </w:p>
          <w:p>
            <w:pPr>
              <w:widowControl w:val="0"/>
              <w:spacing w:before="0" w:after="0" w:line="310" w:lineRule="atLeast"/>
              <w:ind w:right="29"/>
              <w:jc w:val="center"/>
              <w:rPr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31"/>
                <w:szCs w:val="31"/>
              </w:rPr>
              <w:t>гпх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31"/>
                <w:szCs w:val="31"/>
              </w:rPr>
              <w:t xml:space="preserve"> </w:t>
            </w:r>
          </w:p>
        </w:tc>
        <w:tc>
          <w:tcPr>
            <w:tcW w:w="3828" w:type="dxa"/>
            <w:tcBorders>
              <w:left w:val="single" w:sz="6" w:space="0" w:color="000000"/>
            </w:tcBorders>
            <w:noWrap w:val="0"/>
            <w:tcMar>
              <w:top w:w="8" w:type="dxa"/>
              <w:left w:w="8" w:type="dxa"/>
              <w:bottom w:w="5" w:type="dxa"/>
              <w:right w:w="8" w:type="dxa"/>
            </w:tcMar>
            <w:vAlign w:val="center"/>
            <w:hideMark/>
          </w:tcPr>
          <w:p>
            <w:pPr>
              <w:widowControl w:val="0"/>
              <w:spacing w:before="0" w:after="0"/>
              <w:ind w:right="101"/>
              <w:jc w:val="center"/>
              <w:rPr>
                <w:b w:val="0"/>
                <w:bCs w:val="0"/>
                <w:i w:val="0"/>
                <w:iCs w:val="0"/>
                <w:smallCaps w:val="0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1"/>
                <w:szCs w:val="21"/>
              </w:rPr>
              <w:t xml:space="preserve">Дата и время совершения </w:t>
            </w:r>
          </w:p>
        </w:tc>
      </w:tr>
      <w:tr>
        <w:tblPrEx>
          <w:tblW w:w="10055" w:type="dxa"/>
          <w:tblInd w:w="20" w:type="dxa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54"/>
        </w:trPr>
        <w:tc>
          <w:tcPr>
            <w:tcW w:w="542" w:type="dxa"/>
            <w:tcBorders>
              <w:right w:val="single" w:sz="6" w:space="0" w:color="000000"/>
            </w:tcBorders>
            <w:noWrap w:val="0"/>
            <w:tcMar>
              <w:top w:w="5" w:type="dxa"/>
              <w:left w:w="8" w:type="dxa"/>
              <w:bottom w:w="5" w:type="dxa"/>
              <w:right w:w="8" w:type="dxa"/>
            </w:tcMar>
            <w:vAlign w:val="center"/>
            <w:hideMark/>
          </w:tcPr>
          <w:p>
            <w:pPr>
              <w:widowControl w:val="0"/>
              <w:spacing w:before="0" w:after="0"/>
              <w:ind w:right="86"/>
              <w:jc w:val="right"/>
              <w:rPr>
                <w:b w:val="0"/>
                <w:bCs w:val="0"/>
                <w:i w:val="0"/>
                <w:iCs w:val="0"/>
                <w:smallCaps w:val="0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1"/>
                <w:szCs w:val="21"/>
              </w:rPr>
              <w:t xml:space="preserve">п/п </w:t>
            </w:r>
          </w:p>
        </w:tc>
        <w:tc>
          <w:tcPr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>
            <w:pP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1"/>
                <w:szCs w:val="21"/>
              </w:rPr>
            </w:pPr>
          </w:p>
        </w:tc>
        <w:tc>
          <w:tcPr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>
            <w:pP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1"/>
                <w:szCs w:val="21"/>
              </w:rPr>
            </w:pPr>
          </w:p>
        </w:tc>
        <w:tc>
          <w:tcPr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>
            <w:pP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1"/>
                <w:szCs w:val="21"/>
              </w:rPr>
            </w:pPr>
          </w:p>
        </w:tc>
        <w:tc>
          <w:tcPr>
            <w:tcW w:w="3828" w:type="dxa"/>
            <w:tcBorders>
              <w:left w:val="single" w:sz="6" w:space="0" w:color="000000"/>
            </w:tcBorders>
            <w:noWrap w:val="0"/>
            <w:tcMar>
              <w:top w:w="5" w:type="dxa"/>
              <w:left w:w="8" w:type="dxa"/>
              <w:bottom w:w="5" w:type="dxa"/>
              <w:right w:w="8" w:type="dxa"/>
            </w:tcMar>
            <w:vAlign w:val="center"/>
            <w:hideMark/>
          </w:tcPr>
          <w:p>
            <w:pPr>
              <w:widowControl w:val="0"/>
              <w:spacing w:before="0" w:after="0"/>
              <w:ind w:right="101"/>
              <w:jc w:val="center"/>
              <w:rPr>
                <w:b w:val="0"/>
                <w:bCs w:val="0"/>
                <w:i w:val="0"/>
                <w:iCs w:val="0"/>
                <w:smallCaps w:val="0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1"/>
                <w:szCs w:val="21"/>
              </w:rPr>
              <w:t xml:space="preserve">правонарушения </w:t>
            </w:r>
          </w:p>
        </w:tc>
      </w:tr>
      <w:tr>
        <w:tblPrEx>
          <w:tblW w:w="10055" w:type="dxa"/>
          <w:tblInd w:w="20" w:type="dxa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26"/>
        </w:trPr>
        <w:tc>
          <w:tcPr>
            <w:tcW w:w="542" w:type="dxa"/>
            <w:tcBorders>
              <w:bottom w:val="single" w:sz="6" w:space="0" w:color="000000"/>
              <w:right w:val="single" w:sz="6" w:space="0" w:color="000000"/>
            </w:tcBorders>
            <w:noWrap w:val="0"/>
            <w:tcMar>
              <w:top w:w="5" w:type="dxa"/>
              <w:left w:w="8" w:type="dxa"/>
              <w:bottom w:w="8" w:type="dxa"/>
              <w:right w:w="8" w:type="dxa"/>
            </w:tcMar>
            <w:vAlign w:val="center"/>
            <w:hideMark/>
          </w:tcPr>
          <w:p>
            <w:pPr>
              <w:widowControl w:val="0"/>
              <w:spacing w:before="0" w:after="0"/>
              <w:jc w:val="center"/>
              <w:rPr>
                <w:b w:val="0"/>
                <w:bCs w:val="0"/>
                <w:i w:val="0"/>
                <w:iCs w:val="0"/>
                <w:smallCaps w:val="0"/>
                <w:color w:val="000000"/>
                <w:sz w:val="23"/>
                <w:szCs w:val="23"/>
              </w:rPr>
            </w:pPr>
          </w:p>
        </w:tc>
        <w:tc>
          <w:tcPr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>
            <w:pPr>
              <w:rPr>
                <w:b w:val="0"/>
                <w:bCs w:val="0"/>
                <w:i w:val="0"/>
                <w:iCs w:val="0"/>
                <w:smallCaps w:val="0"/>
                <w:color w:val="000000"/>
                <w:sz w:val="23"/>
                <w:szCs w:val="23"/>
              </w:rPr>
            </w:pPr>
          </w:p>
        </w:tc>
        <w:tc>
          <w:tcPr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>
            <w:pPr>
              <w:rPr>
                <w:b w:val="0"/>
                <w:bCs w:val="0"/>
                <w:i w:val="0"/>
                <w:iCs w:val="0"/>
                <w:smallCaps w:val="0"/>
                <w:color w:val="000000"/>
                <w:sz w:val="23"/>
                <w:szCs w:val="23"/>
              </w:rPr>
            </w:pPr>
          </w:p>
        </w:tc>
        <w:tc>
          <w:tcPr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>
            <w:pPr>
              <w:rPr>
                <w:b w:val="0"/>
                <w:bCs w:val="0"/>
                <w:i w:val="0"/>
                <w:iCs w:val="0"/>
                <w:smallCaps w:val="0"/>
                <w:color w:val="000000"/>
                <w:sz w:val="23"/>
                <w:szCs w:val="23"/>
              </w:rPr>
            </w:pPr>
          </w:p>
        </w:tc>
        <w:tc>
          <w:tcPr>
            <w:tcW w:w="3828" w:type="dxa"/>
            <w:tcBorders>
              <w:left w:val="single" w:sz="6" w:space="0" w:color="000000"/>
              <w:bottom w:val="single" w:sz="6" w:space="0" w:color="000000"/>
            </w:tcBorders>
            <w:noWrap w:val="0"/>
            <w:tcMar>
              <w:top w:w="5" w:type="dxa"/>
              <w:left w:w="8" w:type="dxa"/>
              <w:bottom w:w="8" w:type="dxa"/>
              <w:right w:w="8" w:type="dxa"/>
            </w:tcMar>
            <w:vAlign w:val="center"/>
            <w:hideMark/>
          </w:tcPr>
          <w:p>
            <w:pPr>
              <w:widowControl w:val="0"/>
              <w:spacing w:before="0" w:after="0"/>
              <w:jc w:val="center"/>
              <w:rPr>
                <w:b w:val="0"/>
                <w:bCs w:val="0"/>
                <w:i w:val="0"/>
                <w:iCs w:val="0"/>
                <w:smallCaps w:val="0"/>
                <w:color w:val="000000"/>
                <w:sz w:val="31"/>
                <w:szCs w:val="31"/>
              </w:rPr>
            </w:pPr>
          </w:p>
        </w:tc>
      </w:tr>
      <w:tr>
        <w:tblPrEx>
          <w:tblW w:w="10055" w:type="dxa"/>
          <w:tblInd w:w="20" w:type="dxa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07"/>
        </w:trPr>
        <w:tc>
          <w:tcPr>
            <w:tcW w:w="542" w:type="dxa"/>
            <w:tcBorders>
              <w:top w:val="single" w:sz="6" w:space="0" w:color="000000"/>
              <w:right w:val="single" w:sz="6" w:space="0" w:color="000000"/>
            </w:tcBorders>
            <w:noWrap w:val="0"/>
            <w:tcMar>
              <w:top w:w="8" w:type="dxa"/>
              <w:left w:w="8" w:type="dxa"/>
              <w:bottom w:w="5" w:type="dxa"/>
              <w:right w:w="8" w:type="dxa"/>
            </w:tcMar>
            <w:vAlign w:val="center"/>
            <w:hideMark/>
          </w:tcPr>
          <w:p>
            <w:pPr>
              <w:widowControl w:val="0"/>
              <w:spacing w:before="0" w:after="0"/>
              <w:ind w:left="254"/>
              <w:rPr>
                <w:b w:val="0"/>
                <w:bCs w:val="0"/>
                <w:i w:val="0"/>
                <w:iCs w:val="0"/>
                <w:smallCaps w:val="0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1"/>
                <w:szCs w:val="21"/>
              </w:rPr>
              <w:t xml:space="preserve">1 </w:t>
            </w: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noWrap w:val="0"/>
            <w:tcMar>
              <w:top w:w="8" w:type="dxa"/>
              <w:left w:w="8" w:type="dxa"/>
              <w:bottom w:w="5" w:type="dxa"/>
              <w:right w:w="8" w:type="dxa"/>
            </w:tcMar>
            <w:vAlign w:val="center"/>
            <w:hideMark/>
          </w:tcPr>
          <w:p>
            <w:pPr>
              <w:widowControl w:val="0"/>
              <w:spacing w:before="0" w:after="0"/>
              <w:ind w:right="106"/>
              <w:jc w:val="right"/>
              <w:rPr>
                <w:b w:val="0"/>
                <w:bCs w:val="0"/>
                <w:i w:val="0"/>
                <w:iCs w:val="0"/>
                <w:smallCaps w:val="0"/>
                <w:color w:val="000000"/>
                <w:sz w:val="21"/>
                <w:szCs w:val="21"/>
              </w:rPr>
            </w:pPr>
            <w:r>
              <w:rPr>
                <w:rStyle w:val="cat-UserDefinedgrp-45rplc-22"/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1"/>
                <w:szCs w:val="21"/>
              </w:rPr>
              <w:t>...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1"/>
                <w:szCs w:val="21"/>
              </w:rPr>
              <w:t xml:space="preserve"> 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noWrap w:val="0"/>
            <w:tcMar>
              <w:top w:w="8" w:type="dxa"/>
              <w:left w:w="8" w:type="dxa"/>
              <w:bottom w:w="5" w:type="dxa"/>
              <w:right w:w="8" w:type="dxa"/>
            </w:tcMar>
            <w:vAlign w:val="center"/>
            <w:hideMark/>
          </w:tcPr>
          <w:p>
            <w:pPr>
              <w:widowControl w:val="0"/>
              <w:spacing w:before="0" w:after="0"/>
              <w:ind w:left="149"/>
              <w:rPr>
                <w:b w:val="0"/>
                <w:bCs w:val="0"/>
                <w:i w:val="0"/>
                <w:iCs w:val="0"/>
                <w:smallCaps w:val="0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1"/>
                <w:szCs w:val="21"/>
              </w:rPr>
              <w:t>Окончание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1"/>
                <w:szCs w:val="21"/>
              </w:rPr>
              <w:t xml:space="preserve"> ГПХ </w:t>
            </w:r>
          </w:p>
        </w:tc>
        <w:tc>
          <w:tcPr>
            <w:tcW w:w="203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noWrap w:val="0"/>
            <w:tcMar>
              <w:top w:w="8" w:type="dxa"/>
              <w:left w:w="8" w:type="dxa"/>
              <w:bottom w:w="5" w:type="dxa"/>
              <w:right w:w="8" w:type="dxa"/>
            </w:tcMar>
            <w:vAlign w:val="center"/>
            <w:hideMark/>
          </w:tcPr>
          <w:p>
            <w:pPr>
              <w:widowControl w:val="0"/>
              <w:spacing w:before="0" w:after="0"/>
              <w:ind w:left="878" w:hanging="400"/>
              <w:rPr>
                <w:b w:val="0"/>
                <w:bCs w:val="0"/>
                <w:i w:val="0"/>
                <w:iCs w:val="0"/>
                <w:smallCaps w:val="0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1"/>
                <w:szCs w:val="21"/>
              </w:rPr>
              <w:t>30.06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1"/>
                <w:szCs w:val="21"/>
              </w:rPr>
              <w:t>.202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1"/>
                <w:szCs w:val="21"/>
              </w:rPr>
              <w:t>5</w:t>
            </w:r>
          </w:p>
        </w:tc>
        <w:tc>
          <w:tcPr>
            <w:tcW w:w="382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noWrap w:val="0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>
            <w:pPr>
              <w:widowControl w:val="0"/>
              <w:spacing w:before="0" w:after="0"/>
              <w:ind w:left="96"/>
              <w:rPr>
                <w:b w:val="0"/>
                <w:bCs w:val="0"/>
                <w:i w:val="0"/>
                <w:iCs w:val="0"/>
                <w:smallCaps w:val="0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1"/>
                <w:szCs w:val="21"/>
              </w:rPr>
              <w:t>02.07.2025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1"/>
                <w:szCs w:val="21"/>
              </w:rPr>
              <w:t xml:space="preserve"> в 00 час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1"/>
                <w:szCs w:val="21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1"/>
                <w:szCs w:val="21"/>
              </w:rPr>
              <w:t>01 мин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1"/>
                <w:szCs w:val="21"/>
              </w:rPr>
              <w:t>.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1"/>
                <w:szCs w:val="21"/>
              </w:rPr>
              <w:t xml:space="preserve"> </w:t>
            </w:r>
          </w:p>
        </w:tc>
      </w:tr>
      <w:tr>
        <w:tblPrEx>
          <w:tblW w:w="10055" w:type="dxa"/>
          <w:tblInd w:w="20" w:type="dxa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26"/>
        </w:trPr>
        <w:tc>
          <w:tcPr>
            <w:tcW w:w="542" w:type="dxa"/>
            <w:tcBorders>
              <w:right w:val="single" w:sz="6" w:space="0" w:color="000000"/>
            </w:tcBorders>
            <w:noWrap w:val="0"/>
            <w:tcMar>
              <w:top w:w="5" w:type="dxa"/>
              <w:left w:w="8" w:type="dxa"/>
              <w:bottom w:w="8" w:type="dxa"/>
              <w:right w:w="8" w:type="dxa"/>
            </w:tcMar>
            <w:vAlign w:val="center"/>
            <w:hideMark/>
          </w:tcPr>
          <w:p>
            <w:pPr>
              <w:widowControl w:val="0"/>
              <w:spacing w:before="0" w:after="0"/>
              <w:jc w:val="center"/>
              <w:rPr>
                <w:b w:val="0"/>
                <w:bCs w:val="0"/>
                <w:i w:val="0"/>
                <w:iCs w:val="0"/>
                <w:smallCaps w:val="0"/>
                <w:color w:val="000000"/>
                <w:sz w:val="23"/>
                <w:szCs w:val="23"/>
              </w:rPr>
            </w:pPr>
          </w:p>
        </w:tc>
        <w:tc>
          <w:tcPr>
            <w:tcW w:w="1743" w:type="dxa"/>
            <w:tcBorders>
              <w:left w:val="single" w:sz="6" w:space="0" w:color="000000"/>
              <w:right w:val="single" w:sz="6" w:space="0" w:color="000000"/>
            </w:tcBorders>
            <w:noWrap w:val="0"/>
            <w:tcMar>
              <w:top w:w="5" w:type="dxa"/>
              <w:left w:w="8" w:type="dxa"/>
              <w:bottom w:w="8" w:type="dxa"/>
              <w:right w:w="8" w:type="dxa"/>
            </w:tcMar>
            <w:vAlign w:val="center"/>
            <w:hideMark/>
          </w:tcPr>
          <w:p>
            <w:pPr>
              <w:widowControl w:val="0"/>
              <w:spacing w:before="0" w:after="0"/>
              <w:jc w:val="center"/>
              <w:rPr>
                <w:b w:val="0"/>
                <w:bCs w:val="0"/>
                <w:i w:val="0"/>
                <w:iCs w:val="0"/>
                <w:smallCaps w:val="0"/>
                <w:color w:val="000000"/>
                <w:sz w:val="23"/>
                <w:szCs w:val="23"/>
              </w:rPr>
            </w:pPr>
          </w:p>
        </w:tc>
        <w:tc>
          <w:tcPr>
            <w:tcW w:w="1905" w:type="dxa"/>
            <w:tcBorders>
              <w:left w:val="single" w:sz="6" w:space="0" w:color="000000"/>
              <w:right w:val="single" w:sz="6" w:space="0" w:color="000000"/>
            </w:tcBorders>
            <w:noWrap w:val="0"/>
            <w:tcMar>
              <w:top w:w="5" w:type="dxa"/>
              <w:left w:w="8" w:type="dxa"/>
              <w:bottom w:w="8" w:type="dxa"/>
              <w:right w:w="8" w:type="dxa"/>
            </w:tcMar>
            <w:vAlign w:val="center"/>
            <w:hideMark/>
          </w:tcPr>
          <w:p>
            <w:pPr>
              <w:widowControl w:val="0"/>
              <w:spacing w:before="0" w:after="0"/>
              <w:rPr>
                <w:b w:val="0"/>
                <w:bCs w:val="0"/>
                <w:i w:val="0"/>
                <w:iCs w:val="0"/>
                <w:smallCaps w:val="0"/>
                <w:color w:val="000000"/>
                <w:sz w:val="21"/>
                <w:szCs w:val="21"/>
              </w:rPr>
            </w:pPr>
          </w:p>
        </w:tc>
        <w:tc>
          <w:tcPr>
            <w:tcW w:w="2037" w:type="dxa"/>
            <w:tcBorders>
              <w:left w:val="single" w:sz="6" w:space="0" w:color="000000"/>
              <w:right w:val="single" w:sz="6" w:space="0" w:color="000000"/>
            </w:tcBorders>
            <w:noWrap w:val="0"/>
            <w:tcMar>
              <w:top w:w="5" w:type="dxa"/>
              <w:left w:w="8" w:type="dxa"/>
              <w:bottom w:w="8" w:type="dxa"/>
              <w:right w:w="8" w:type="dxa"/>
            </w:tcMar>
            <w:vAlign w:val="center"/>
            <w:hideMark/>
          </w:tcPr>
          <w:p>
            <w:pPr>
              <w:widowControl w:val="0"/>
              <w:spacing w:before="0" w:after="0"/>
              <w:ind w:left="878" w:hanging="400"/>
              <w:rPr>
                <w:b w:val="0"/>
                <w:bCs w:val="0"/>
                <w:i w:val="0"/>
                <w:iCs w:val="0"/>
                <w:smallCaps w:val="0"/>
                <w:color w:val="000000"/>
                <w:sz w:val="21"/>
                <w:szCs w:val="21"/>
              </w:rPr>
            </w:pPr>
          </w:p>
        </w:tc>
        <w:tc>
          <w:tcPr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>
            <w:pPr>
              <w:rPr>
                <w:b w:val="0"/>
                <w:bCs w:val="0"/>
                <w:i w:val="0"/>
                <w:iCs w:val="0"/>
                <w:smallCaps w:val="0"/>
                <w:color w:val="000000"/>
                <w:sz w:val="21"/>
                <w:szCs w:val="21"/>
              </w:rPr>
            </w:pPr>
          </w:p>
        </w:tc>
      </w:tr>
    </w:tbl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Таким образом,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ООО ЧПОУ СКП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нарушены установленные Федеральным законом от 01.04.1996 № 27-ФЗ сроки представления в органы Социального фонда Российской Федерации сведений по форме ЕФС- 1, раздел 1, подраздел 1.1, за что предусмотрена ответственность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ч. 1 ст. 15.33.2 КоАП. 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 рассмотрении дела об административном правонарушении привлекаем</w:t>
      </w:r>
      <w:r>
        <w:rPr>
          <w:rFonts w:ascii="Times New Roman" w:eastAsia="Times New Roman" w:hAnsi="Times New Roman" w:cs="Times New Roman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sz w:val="28"/>
          <w:szCs w:val="28"/>
        </w:rPr>
        <w:t>, будучи извещенн</w:t>
      </w:r>
      <w:r>
        <w:rPr>
          <w:rFonts w:ascii="Times New Roman" w:eastAsia="Times New Roman" w:hAnsi="Times New Roman" w:cs="Times New Roman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надлежащим образом о времени и месте судебного разбирательства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(п. 6 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>остановления Пленума ВС РФ от 24.03.2005 г. № 5),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не присутствовал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, ходатайств об отложении судебного заседания не заявлял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При таких обстоятельствах и на основании ст.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25.1 КоАП РФ судья полагает возможным рассмотреть дело в отсутствие лица, в отношении которого ведется производство по делу, по имеющимся доказательствам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Изучив материалы дела, мировой судья приходит к следующему.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Вина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Калёновой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П.В.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совершении инкриминируемого административного правонарушения </w:t>
      </w:r>
      <w:r>
        <w:rPr>
          <w:rFonts w:ascii="Times New Roman" w:eastAsia="Times New Roman" w:hAnsi="Times New Roman" w:cs="Times New Roman"/>
          <w:sz w:val="28"/>
          <w:szCs w:val="28"/>
        </w:rPr>
        <w:t>подтверждается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протоколом об административном правонарушении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484</w:t>
      </w:r>
      <w:r>
        <w:rPr>
          <w:rFonts w:ascii="Times New Roman" w:eastAsia="Times New Roman" w:hAnsi="Times New Roman" w:cs="Times New Roman"/>
          <w:sz w:val="28"/>
          <w:szCs w:val="28"/>
        </w:rPr>
        <w:t>/2026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</w:rPr>
        <w:t>18.05.</w:t>
      </w:r>
      <w:r>
        <w:rPr>
          <w:rFonts w:ascii="Times New Roman" w:eastAsia="Times New Roman" w:hAnsi="Times New Roman" w:cs="Times New Roman"/>
          <w:sz w:val="28"/>
          <w:szCs w:val="28"/>
        </w:rPr>
        <w:t>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года;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копией 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писка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внутренних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почтовых отправлений от </w:t>
      </w:r>
      <w:r>
        <w:rPr>
          <w:rFonts w:ascii="Times New Roman" w:eastAsia="Times New Roman" w:hAnsi="Times New Roman" w:cs="Times New Roman"/>
          <w:sz w:val="28"/>
          <w:szCs w:val="28"/>
        </w:rPr>
        <w:t>19.05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.2026 года;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уведомлением о </w:t>
      </w:r>
      <w:r>
        <w:rPr>
          <w:rFonts w:ascii="Times New Roman" w:eastAsia="Times New Roman" w:hAnsi="Times New Roman" w:cs="Times New Roman"/>
          <w:sz w:val="28"/>
          <w:szCs w:val="28"/>
        </w:rPr>
        <w:t>составлении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протокола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об административном правонарушении от </w:t>
      </w:r>
      <w:r>
        <w:rPr>
          <w:rFonts w:ascii="Times New Roman" w:eastAsia="Times New Roman" w:hAnsi="Times New Roman" w:cs="Times New Roman"/>
          <w:sz w:val="28"/>
          <w:szCs w:val="28"/>
        </w:rPr>
        <w:t>21</w:t>
      </w:r>
      <w:r>
        <w:rPr>
          <w:rFonts w:ascii="Times New Roman" w:eastAsia="Times New Roman" w:hAnsi="Times New Roman" w:cs="Times New Roman"/>
          <w:sz w:val="28"/>
          <w:szCs w:val="28"/>
        </w:rPr>
        <w:t>.04.</w:t>
      </w:r>
      <w:r>
        <w:rPr>
          <w:rFonts w:ascii="Times New Roman" w:eastAsia="Times New Roman" w:hAnsi="Times New Roman" w:cs="Times New Roman"/>
          <w:sz w:val="28"/>
          <w:szCs w:val="28"/>
        </w:rPr>
        <w:t>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№ 2</w:t>
      </w:r>
      <w:r>
        <w:rPr>
          <w:rFonts w:ascii="Times New Roman" w:eastAsia="Times New Roman" w:hAnsi="Times New Roman" w:cs="Times New Roman"/>
          <w:sz w:val="28"/>
          <w:szCs w:val="28"/>
        </w:rPr>
        <w:t>484</w:t>
      </w:r>
      <w:r>
        <w:rPr>
          <w:rFonts w:ascii="Times New Roman" w:eastAsia="Times New Roman" w:hAnsi="Times New Roman" w:cs="Times New Roman"/>
          <w:sz w:val="28"/>
          <w:szCs w:val="28"/>
        </w:rPr>
        <w:t>/2026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телефонограммой-уведомлением от </w:t>
      </w:r>
      <w:r>
        <w:rPr>
          <w:rFonts w:ascii="Times New Roman" w:eastAsia="Times New Roman" w:hAnsi="Times New Roman" w:cs="Times New Roman"/>
          <w:sz w:val="28"/>
          <w:szCs w:val="28"/>
        </w:rPr>
        <w:t>21</w:t>
      </w:r>
      <w:r>
        <w:rPr>
          <w:rFonts w:ascii="Times New Roman" w:eastAsia="Times New Roman" w:hAnsi="Times New Roman" w:cs="Times New Roman"/>
          <w:sz w:val="28"/>
          <w:szCs w:val="28"/>
        </w:rPr>
        <w:t>.04</w:t>
      </w:r>
      <w:r>
        <w:rPr>
          <w:rFonts w:ascii="Times New Roman" w:eastAsia="Times New Roman" w:hAnsi="Times New Roman" w:cs="Times New Roman"/>
          <w:sz w:val="28"/>
          <w:szCs w:val="28"/>
        </w:rPr>
        <w:t>.2026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eastAsia="Times New Roman" w:hAnsi="Times New Roman" w:cs="Times New Roman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sz w:val="28"/>
          <w:szCs w:val="28"/>
        </w:rPr>
        <w:t>91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информацией по страхователю; </w:t>
      </w:r>
      <w:r>
        <w:rPr>
          <w:rFonts w:ascii="Times New Roman" w:eastAsia="Times New Roman" w:hAnsi="Times New Roman" w:cs="Times New Roman"/>
          <w:sz w:val="28"/>
          <w:szCs w:val="28"/>
        </w:rPr>
        <w:t>актом о выявлении правонарушения в сфере законодательства РФ об индивидуальном (персонифицированном) учете в системах обязательного пенсионного страхования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обязательного социального страхования от </w:t>
      </w:r>
      <w:r>
        <w:rPr>
          <w:rFonts w:ascii="Times New Roman" w:eastAsia="Times New Roman" w:hAnsi="Times New Roman" w:cs="Times New Roman"/>
          <w:sz w:val="28"/>
          <w:szCs w:val="28"/>
        </w:rPr>
        <w:t>14.04</w:t>
      </w:r>
      <w:r>
        <w:rPr>
          <w:rFonts w:ascii="Times New Roman" w:eastAsia="Times New Roman" w:hAnsi="Times New Roman" w:cs="Times New Roman"/>
          <w:sz w:val="28"/>
          <w:szCs w:val="28"/>
        </w:rPr>
        <w:t>.2026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№ 027</w:t>
      </w:r>
      <w:r>
        <w:rPr>
          <w:rFonts w:ascii="Times New Roman" w:eastAsia="Times New Roman" w:hAnsi="Times New Roman" w:cs="Times New Roman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z w:val="28"/>
          <w:szCs w:val="28"/>
        </w:rPr>
        <w:t>18260002</w:t>
      </w:r>
      <w:r>
        <w:rPr>
          <w:rFonts w:ascii="Times New Roman" w:eastAsia="Times New Roman" w:hAnsi="Times New Roman" w:cs="Times New Roman"/>
          <w:sz w:val="28"/>
          <w:szCs w:val="28"/>
        </w:rPr>
        <w:t>484</w:t>
      </w:r>
      <w:r>
        <w:rPr>
          <w:rFonts w:ascii="Times New Roman" w:eastAsia="Times New Roman" w:hAnsi="Times New Roman" w:cs="Times New Roman"/>
          <w:sz w:val="28"/>
          <w:szCs w:val="28"/>
        </w:rPr>
        <w:t>; расчетом финансовой санкции;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обращением ЕФС-</w:t>
      </w:r>
      <w:r>
        <w:rPr>
          <w:rStyle w:val="cat-UserDefinedgrp-44rplc-35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Единой формой «Сведения для ведения индивидуального (персонифицированного) учета и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(ЕФС-1); </w:t>
      </w:r>
      <w:r>
        <w:rPr>
          <w:rFonts w:ascii="Times New Roman" w:eastAsia="Times New Roman" w:hAnsi="Times New Roman" w:cs="Times New Roman"/>
          <w:sz w:val="28"/>
          <w:szCs w:val="28"/>
        </w:rPr>
        <w:t>протоколом проверки отчетности;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копией выписки из ЕГРЮЛ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>ышеизложенные доказательства в своей совокупности относимы, допустимы, достоверны и свидетельствуют о виновности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Калёновой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П.В. </w:t>
      </w:r>
      <w:r>
        <w:rPr>
          <w:rFonts w:ascii="Times New Roman" w:eastAsia="Times New Roman" w:hAnsi="Times New Roman" w:cs="Times New Roman"/>
          <w:sz w:val="28"/>
          <w:szCs w:val="28"/>
        </w:rPr>
        <w:t>в инкриминируемом административном правонарушении.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действия мировой судья квалифицирует по ч. 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ст. 15.33</w:t>
      </w:r>
      <w:r>
        <w:rPr>
          <w:rFonts w:ascii="Times New Roman" w:eastAsia="Times New Roman" w:hAnsi="Times New Roman" w:cs="Times New Roman"/>
          <w:sz w:val="28"/>
          <w:szCs w:val="28"/>
        </w:rPr>
        <w:t>.2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КоАП РФ – 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епредставление в установленный законодательством Российской Федерации об индивидуальном (персонифицированном) учете в системах обязательного пенсионного страхования и обязательного социального страхования срок либо отказ от представления в территориальные органы Фонда пенсионного и социального страхования Российской Федерации оформленных в установленном порядке сведений (документов), необходимых для ведения индивидуального (персонифицированного) учета в системах обязательного пенсионного страхования и обязательного социального страхования, а равно представление таких сведений в неполном объеме или в искаженном виде, за исключением случаев, предусмотренных частью 2 </w:t>
      </w:r>
      <w:r>
        <w:rPr>
          <w:rFonts w:ascii="Times New Roman" w:eastAsia="Times New Roman" w:hAnsi="Times New Roman" w:cs="Times New Roman"/>
          <w:sz w:val="28"/>
          <w:szCs w:val="28"/>
        </w:rPr>
        <w:t>названной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статьи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Обстоятельств, исключающих производство по делу об административном правонарушении и возможность рассмотрения дела об административном правонарушении, не имеется. Обстоятельств,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смягчающих 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отягчающих административную ответственность, судом не выявлено.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Принимая во внимание характер и степень общественной опасности совершенного административного правонарушения, объектом которого являются общественные отношения в сфере обязательного пенсионного и социального страхования, обстоятельства его совершения, отсутствие смягчающих и отягчающих административную ответственность обстоятельств и, руководствуясь принципами справедливости, разумности, соразмерности наказания совершенному деянию, учитывая влияние наказания на исправление лица, привлекаемого к административной ответственности, в целях предупреждения совершения новых правонарушений, мировой судья приходит к выводу о том, что </w:t>
      </w:r>
      <w:r>
        <w:rPr>
          <w:rFonts w:ascii="Times New Roman" w:eastAsia="Times New Roman" w:hAnsi="Times New Roman" w:cs="Times New Roman"/>
          <w:sz w:val="28"/>
          <w:szCs w:val="28"/>
        </w:rPr>
        <w:t>Калёнов</w:t>
      </w:r>
      <w:r>
        <w:rPr>
          <w:rFonts w:ascii="Times New Roman" w:eastAsia="Times New Roman" w:hAnsi="Times New Roman" w:cs="Times New Roman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П.В. </w:t>
      </w:r>
      <w:r>
        <w:rPr>
          <w:rFonts w:ascii="Times New Roman" w:eastAsia="Times New Roman" w:hAnsi="Times New Roman" w:cs="Times New Roman"/>
          <w:sz w:val="28"/>
          <w:szCs w:val="28"/>
        </w:rPr>
        <w:t>следует назначить наказание в виде административного штрафа в минимальной размере, предусмотренном санкцией статьи. Исходя из оценки конкретных обстоятельств по настоящему делу, обстоятельств, свидетельствующих о малозначительности совершенного административного правонарушения, не усматривается.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Руководствуясь </w:t>
      </w:r>
      <w:r>
        <w:rPr>
          <w:rFonts w:ascii="Times New Roman" w:eastAsia="Times New Roman" w:hAnsi="Times New Roman" w:cs="Times New Roman"/>
          <w:sz w:val="28"/>
          <w:szCs w:val="28"/>
        </w:rPr>
        <w:t>ст.ст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29.10, 29.11 </w:t>
      </w:r>
      <w:r>
        <w:rPr>
          <w:rFonts w:ascii="Times New Roman" w:eastAsia="Times New Roman" w:hAnsi="Times New Roman" w:cs="Times New Roman"/>
          <w:sz w:val="28"/>
          <w:szCs w:val="28"/>
        </w:rPr>
        <w:t>КоАП РФ, мировой судья</w:t>
      </w:r>
    </w:p>
    <w:p>
      <w:pPr>
        <w:spacing w:before="0" w:after="0"/>
        <w:ind w:firstLine="567"/>
        <w:jc w:val="both"/>
        <w:rPr>
          <w:sz w:val="28"/>
          <w:szCs w:val="28"/>
        </w:rPr>
      </w:pPr>
    </w:p>
    <w:p>
      <w:pPr>
        <w:spacing w:before="0" w:after="0"/>
        <w:ind w:firstLine="567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постановил:</w:t>
      </w:r>
    </w:p>
    <w:p>
      <w:pPr>
        <w:spacing w:before="0" w:after="0"/>
        <w:ind w:firstLine="567"/>
        <w:jc w:val="center"/>
        <w:rPr>
          <w:sz w:val="28"/>
          <w:szCs w:val="28"/>
        </w:rPr>
      </w:pP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Калёнову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Полину Владимировну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признать виновн</w:t>
      </w:r>
      <w:r>
        <w:rPr>
          <w:rFonts w:ascii="Times New Roman" w:eastAsia="Times New Roman" w:hAnsi="Times New Roman" w:cs="Times New Roman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совершении административного правонарушения, предусмотренного ч. 1 ст. 15.33.2 КоАП РФ и подвергнуть наказанию в виде штрафа в размере </w:t>
      </w:r>
      <w:r>
        <w:rPr>
          <w:rStyle w:val="cat-Sumgrp-27rplc-40"/>
          <w:rFonts w:ascii="Times New Roman" w:eastAsia="Times New Roman" w:hAnsi="Times New Roman" w:cs="Times New Roman"/>
          <w:sz w:val="28"/>
          <w:szCs w:val="28"/>
        </w:rPr>
        <w:t>сумма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Штраф подлежит зачислению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по следующим реквизитам: банк получателя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</w:rPr>
        <w:t>ОЦК № 8 Уральского ГУ Банка России</w:t>
      </w:r>
      <w:r>
        <w:rPr>
          <w:rFonts w:ascii="Times New Roman" w:eastAsia="Times New Roman" w:hAnsi="Times New Roman" w:cs="Times New Roman"/>
          <w:sz w:val="28"/>
          <w:szCs w:val="28"/>
        </w:rPr>
        <w:t>//УФК по Ханты-Мансийскому автономному округу - Югре г. Ханты-Мансийск; получатель - УФК по Ханты-Мансийскому автономному округу - Югре (ОСФР по ХМАО - Югре, л/с 04874Ф87010), номер счета банка получателя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- (номер банковского счета, входящего в состав единого казначейского счета, Кор/счет) – 40102810245370000007, ИНН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8601002078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КПП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860101001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БИК - ТОФК – 007162163, ОКТМО - 71876000 (город Сургут), 71826000 (Сургутский р-н), счет получателя платежа (номер казначейского счета, р/</w:t>
      </w:r>
      <w:r>
        <w:rPr>
          <w:rFonts w:ascii="Times New Roman" w:eastAsia="Times New Roman" w:hAnsi="Times New Roman" w:cs="Times New Roman"/>
          <w:sz w:val="28"/>
          <w:szCs w:val="28"/>
        </w:rPr>
        <w:t>сч</w:t>
      </w:r>
      <w:r>
        <w:rPr>
          <w:rFonts w:ascii="Times New Roman" w:eastAsia="Times New Roman" w:hAnsi="Times New Roman" w:cs="Times New Roman"/>
          <w:sz w:val="28"/>
          <w:szCs w:val="28"/>
        </w:rPr>
        <w:t>.) – 03100643000000018700, КБК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79711601230060001140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УИН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79702700000000420033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соответствии со ст. 32.2 КоАП РФ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Неуплата административного штрафа в установленный законом срок влечет административную ответственность по ч. 1 ст. 20.25 КоАП РФ. 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Копию квитанции об оплате административного штрафа необходимо представить по адресу: г. Сургут ул. Гагарина д. 9 </w:t>
      </w:r>
      <w:r>
        <w:rPr>
          <w:rFonts w:ascii="Times New Roman" w:eastAsia="Times New Roman" w:hAnsi="Times New Roman" w:cs="Times New Roman"/>
          <w:sz w:val="28"/>
          <w:szCs w:val="28"/>
        </w:rPr>
        <w:t>каб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105. 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Постановление может быть обжаловано в Сургутский городской суд путем подачи жалобы через мирового судью судебного участка № 10 Сургутского судебного района города окружного значения Сургута в течение десяти дней со дня получения копии постановления.</w:t>
      </w:r>
    </w:p>
    <w:p>
      <w:pPr>
        <w:spacing w:before="0" w:after="0"/>
        <w:ind w:firstLine="567"/>
        <w:jc w:val="both"/>
        <w:rPr>
          <w:sz w:val="28"/>
          <w:szCs w:val="28"/>
        </w:rPr>
      </w:pPr>
    </w:p>
    <w:p>
      <w:pPr>
        <w:spacing w:before="0" w:after="0"/>
        <w:jc w:val="both"/>
        <w:rPr>
          <w:sz w:val="28"/>
          <w:szCs w:val="28"/>
        </w:rPr>
      </w:pP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Мировой судья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Е.П. Король</w:t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«Копия верна»</w:t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Мировой судья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Е.П. Король</w:t>
      </w: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at-UserDefinedgrp-42rplc-6">
    <w:name w:val="cat-UserDefined grp-42 rplc-6"/>
    <w:basedOn w:val="DefaultParagraphFont"/>
  </w:style>
  <w:style w:type="character" w:customStyle="1" w:styleId="cat-UserDefinedgrp-43rplc-16">
    <w:name w:val="cat-UserDefined grp-43 rplc-16"/>
    <w:basedOn w:val="DefaultParagraphFont"/>
  </w:style>
  <w:style w:type="character" w:customStyle="1" w:styleId="cat-UserDefinedgrp-44rplc-18">
    <w:name w:val="cat-UserDefined grp-44 rplc-18"/>
    <w:basedOn w:val="DefaultParagraphFont"/>
  </w:style>
  <w:style w:type="character" w:customStyle="1" w:styleId="cat-UserDefinedgrp-45rplc-22">
    <w:name w:val="cat-UserDefined grp-45 rplc-22"/>
    <w:basedOn w:val="DefaultParagraphFont"/>
  </w:style>
  <w:style w:type="character" w:customStyle="1" w:styleId="cat-UserDefinedgrp-44rplc-35">
    <w:name w:val="cat-UserDefined grp-44 rplc-35"/>
    <w:basedOn w:val="DefaultParagraphFont"/>
  </w:style>
  <w:style w:type="character" w:customStyle="1" w:styleId="cat-Sumgrp-27rplc-40">
    <w:name w:val="cat-Sum grp-27 rplc-40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